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W w:w="1060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567"/>
        <w:gridCol w:w="1279"/>
        <w:gridCol w:w="3019"/>
        <w:gridCol w:w="2674"/>
        <w:gridCol w:w="1849"/>
        <w:gridCol w:w="121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02" w:type="dxa"/>
            <w:left w:w="62" w:type="dxa"/>
            <w:bottom w:w="102" w:type="dxa"/>
            <w:right w:w="62" w:type="dxa"/>
          </w:tblCellMar>
        </w:tblPrEx>
        <w:tc>
          <w:tcPr>
            <w:tcW w:w="567" w:type="dxa"/>
            <w:vMerge w:val="restart"/>
            <w:tcBorders>
              <w:top w:val="single" w:color="auto" w:sz="4" w:space="0"/>
              <w:bottom w:val="single" w:color="auto" w:sz="4" w:space="0"/>
            </w:tcBorders>
          </w:tcPr>
          <w:p>
            <w:pPr>
              <w:pStyle w:val="4"/>
              <w:jc w:val="center"/>
            </w:pPr>
            <w:r>
              <w:rPr>
                <w:sz w:val="20"/>
              </w:rPr>
              <w:t>97</w:t>
            </w:r>
          </w:p>
        </w:tc>
        <w:tc>
          <w:tcPr>
            <w:tcW w:w="1279" w:type="dxa"/>
            <w:vMerge w:val="restart"/>
            <w:tcBorders>
              <w:top w:val="single" w:color="auto" w:sz="4" w:space="0"/>
              <w:bottom w:val="single" w:color="auto" w:sz="4" w:space="0"/>
            </w:tcBorders>
          </w:tcPr>
          <w:p>
            <w:pPr>
              <w:pStyle w:val="4"/>
              <w:jc w:val="center"/>
            </w:pPr>
            <w:r>
              <w:rPr>
                <w:sz w:val="20"/>
              </w:rPr>
              <w:t>17544</w:t>
            </w:r>
          </w:p>
        </w:tc>
        <w:tc>
          <w:tcPr>
            <w:tcW w:w="3019" w:type="dxa"/>
            <w:vMerge w:val="restart"/>
            <w:tcBorders>
              <w:top w:val="single" w:color="auto" w:sz="4" w:space="0"/>
              <w:bottom w:val="single" w:color="auto" w:sz="4" w:space="0"/>
            </w:tcBorders>
          </w:tcPr>
          <w:p>
            <w:pPr>
              <w:pStyle w:val="4"/>
            </w:pPr>
            <w:r>
              <w:rPr>
                <w:sz w:val="20"/>
              </w:rPr>
              <w:t>Рабочий по комплексному обслуживанию зданий и сооружений</w:t>
            </w:r>
          </w:p>
        </w:tc>
        <w:tc>
          <w:tcPr>
            <w:tcW w:w="2674" w:type="dxa"/>
            <w:tcBorders>
              <w:top w:val="single" w:color="auto" w:sz="4" w:space="0"/>
              <w:bottom w:val="nil"/>
            </w:tcBorders>
          </w:tcPr>
          <w:p>
            <w:pPr>
              <w:pStyle w:val="4"/>
            </w:pPr>
            <w:r>
              <w:rPr>
                <w:sz w:val="20"/>
              </w:rPr>
              <w:t>Костюм хлопчатобумажный (халат хлопчатобумажный) или</w:t>
            </w:r>
          </w:p>
        </w:tc>
        <w:tc>
          <w:tcPr>
            <w:tcW w:w="1849" w:type="dxa"/>
            <w:tcBorders>
              <w:top w:val="single" w:color="auto" w:sz="4" w:space="0"/>
              <w:bottom w:val="nil"/>
            </w:tcBorders>
          </w:tcPr>
          <w:p>
            <w:pPr>
              <w:pStyle w:val="4"/>
              <w:jc w:val="center"/>
            </w:pPr>
            <w:r>
              <w:rPr>
                <w:sz w:val="20"/>
              </w:rPr>
              <w:t>ЗМи</w:t>
            </w:r>
          </w:p>
        </w:tc>
        <w:tc>
          <w:tcPr>
            <w:tcW w:w="1219" w:type="dxa"/>
            <w:tcBorders>
              <w:top w:val="single" w:color="auto" w:sz="4" w:space="0"/>
              <w:bottom w:val="nil"/>
            </w:tcBorders>
          </w:tcPr>
          <w:p>
            <w:pPr>
              <w:pStyle w:val="4"/>
              <w:jc w:val="center"/>
            </w:pPr>
            <w:r>
              <w:rPr>
                <w:sz w:val="20"/>
              </w:rPr>
              <w:t>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single" w:color="auto" w:sz="4" w:space="0"/>
          </w:tblBorders>
          <w:tblLayout w:type="fixed"/>
          <w:tblCellMar>
            <w:top w:w="102" w:type="dxa"/>
            <w:left w:w="62" w:type="dxa"/>
            <w:bottom w:w="102" w:type="dxa"/>
            <w:right w:w="62" w:type="dxa"/>
          </w:tblCellMar>
        </w:tblPrEx>
        <w:tc>
          <w:tcPr>
            <w:tcW w:w="567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1279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3019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2674" w:type="dxa"/>
            <w:tcBorders>
              <w:top w:val="nil"/>
              <w:bottom w:val="nil"/>
            </w:tcBorders>
          </w:tcPr>
          <w:p>
            <w:pPr>
              <w:pStyle w:val="4"/>
            </w:pPr>
            <w:r>
              <w:rPr>
                <w:sz w:val="20"/>
              </w:rPr>
              <w:t>костюм из полиэфирно-вискозной ткани</w:t>
            </w:r>
          </w:p>
        </w:tc>
        <w:tc>
          <w:tcPr>
            <w:tcW w:w="1849" w:type="dxa"/>
            <w:tcBorders>
              <w:top w:val="nil"/>
              <w:bottom w:val="nil"/>
            </w:tcBorders>
          </w:tcPr>
          <w:p>
            <w:pPr>
              <w:pStyle w:val="4"/>
              <w:jc w:val="center"/>
            </w:pPr>
            <w:r>
              <w:rPr>
                <w:sz w:val="20"/>
              </w:rPr>
              <w:t>ЗМи</w:t>
            </w:r>
          </w:p>
        </w:tc>
        <w:tc>
          <w:tcPr>
            <w:tcW w:w="1219" w:type="dxa"/>
            <w:tcBorders>
              <w:top w:val="nil"/>
              <w:bottom w:val="nil"/>
            </w:tcBorders>
          </w:tcPr>
          <w:p>
            <w:pPr>
              <w:pStyle w:val="4"/>
              <w:jc w:val="center"/>
            </w:pPr>
            <w:r>
              <w:rPr>
                <w:sz w:val="20"/>
              </w:rPr>
              <w:t>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single" w:color="auto" w:sz="4" w:space="0"/>
          </w:tblBorders>
          <w:tblLayout w:type="fixed"/>
          <w:tblCellMar>
            <w:top w:w="102" w:type="dxa"/>
            <w:left w:w="62" w:type="dxa"/>
            <w:bottom w:w="102" w:type="dxa"/>
            <w:right w:w="62" w:type="dxa"/>
          </w:tblCellMar>
        </w:tblPrEx>
        <w:tc>
          <w:tcPr>
            <w:tcW w:w="567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1279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3019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2674" w:type="dxa"/>
            <w:tcBorders>
              <w:top w:val="nil"/>
              <w:bottom w:val="nil"/>
            </w:tcBorders>
          </w:tcPr>
          <w:p>
            <w:pPr>
              <w:pStyle w:val="4"/>
            </w:pPr>
            <w:r>
              <w:rPr>
                <w:sz w:val="20"/>
              </w:rPr>
              <w:t>Головной убор из хлопчатобумажной ткани</w:t>
            </w:r>
          </w:p>
        </w:tc>
        <w:tc>
          <w:tcPr>
            <w:tcW w:w="1849" w:type="dxa"/>
            <w:tcBorders>
              <w:top w:val="nil"/>
              <w:bottom w:val="nil"/>
            </w:tcBorders>
          </w:tcPr>
          <w:p>
            <w:pPr>
              <w:pStyle w:val="4"/>
              <w:outlineLvl w:val="0"/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>
            <w:pPr>
              <w:pStyle w:val="4"/>
              <w:jc w:val="center"/>
            </w:pPr>
            <w:r>
              <w:rPr>
                <w:sz w:val="20"/>
              </w:rPr>
              <w:t>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single" w:color="auto" w:sz="4" w:space="0"/>
          </w:tblBorders>
          <w:tblLayout w:type="fixed"/>
          <w:tblCellMar>
            <w:top w:w="102" w:type="dxa"/>
            <w:left w:w="62" w:type="dxa"/>
            <w:bottom w:w="102" w:type="dxa"/>
            <w:right w:w="62" w:type="dxa"/>
          </w:tblCellMar>
        </w:tblPrEx>
        <w:tc>
          <w:tcPr>
            <w:tcW w:w="567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1279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3019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2674" w:type="dxa"/>
            <w:tcBorders>
              <w:top w:val="nil"/>
              <w:bottom w:val="nil"/>
            </w:tcBorders>
          </w:tcPr>
          <w:p>
            <w:pPr>
              <w:pStyle w:val="4"/>
            </w:pPr>
            <w:r>
              <w:rPr>
                <w:sz w:val="20"/>
              </w:rPr>
              <w:t>Ботинки кожаные</w:t>
            </w:r>
          </w:p>
        </w:tc>
        <w:tc>
          <w:tcPr>
            <w:tcW w:w="1849" w:type="dxa"/>
            <w:tcBorders>
              <w:top w:val="nil"/>
              <w:bottom w:val="nil"/>
            </w:tcBorders>
          </w:tcPr>
          <w:p>
            <w:pPr>
              <w:pStyle w:val="4"/>
              <w:jc w:val="center"/>
            </w:pPr>
            <w:r>
              <w:rPr>
                <w:sz w:val="20"/>
              </w:rPr>
              <w:t>З</w:t>
            </w:r>
          </w:p>
        </w:tc>
        <w:tc>
          <w:tcPr>
            <w:tcW w:w="1219" w:type="dxa"/>
            <w:tcBorders>
              <w:top w:val="nil"/>
              <w:bottom w:val="nil"/>
            </w:tcBorders>
          </w:tcPr>
          <w:p>
            <w:pPr>
              <w:pStyle w:val="4"/>
              <w:jc w:val="center"/>
            </w:pPr>
            <w:r>
              <w:rPr>
                <w:sz w:val="20"/>
              </w:rPr>
              <w:t>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single" w:color="auto" w:sz="4" w:space="0"/>
          </w:tblBorders>
          <w:tblLayout w:type="fixed"/>
          <w:tblCellMar>
            <w:top w:w="102" w:type="dxa"/>
            <w:left w:w="62" w:type="dxa"/>
            <w:bottom w:w="102" w:type="dxa"/>
            <w:right w:w="62" w:type="dxa"/>
          </w:tblCellMar>
        </w:tblPrEx>
        <w:tc>
          <w:tcPr>
            <w:tcW w:w="567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1279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3019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2674" w:type="dxa"/>
            <w:tcBorders>
              <w:top w:val="nil"/>
              <w:bottom w:val="nil"/>
            </w:tcBorders>
          </w:tcPr>
          <w:p>
            <w:pPr>
              <w:pStyle w:val="4"/>
            </w:pPr>
            <w:r>
              <w:rPr>
                <w:sz w:val="20"/>
              </w:rPr>
              <w:t>Тапочки кожаные</w:t>
            </w:r>
          </w:p>
        </w:tc>
        <w:tc>
          <w:tcPr>
            <w:tcW w:w="1849" w:type="dxa"/>
            <w:tcBorders>
              <w:top w:val="nil"/>
              <w:bottom w:val="nil"/>
            </w:tcBorders>
          </w:tcPr>
          <w:p>
            <w:pPr>
              <w:pStyle w:val="4"/>
              <w:jc w:val="center"/>
            </w:pPr>
            <w:r>
              <w:rPr>
                <w:sz w:val="20"/>
              </w:rPr>
              <w:t>З</w:t>
            </w:r>
          </w:p>
        </w:tc>
        <w:tc>
          <w:tcPr>
            <w:tcW w:w="1219" w:type="dxa"/>
            <w:tcBorders>
              <w:top w:val="nil"/>
              <w:bottom w:val="nil"/>
            </w:tcBorders>
          </w:tcPr>
          <w:p>
            <w:pPr>
              <w:pStyle w:val="4"/>
              <w:jc w:val="center"/>
            </w:pPr>
            <w:r>
              <w:rPr>
                <w:sz w:val="20"/>
              </w:rPr>
              <w:t>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single" w:color="auto" w:sz="4" w:space="0"/>
          </w:tblBorders>
          <w:tblLayout w:type="fixed"/>
          <w:tblCellMar>
            <w:top w:w="102" w:type="dxa"/>
            <w:left w:w="62" w:type="dxa"/>
            <w:bottom w:w="102" w:type="dxa"/>
            <w:right w:w="62" w:type="dxa"/>
          </w:tblCellMar>
        </w:tblPrEx>
        <w:tc>
          <w:tcPr>
            <w:tcW w:w="567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1279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3019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2674" w:type="dxa"/>
            <w:tcBorders>
              <w:top w:val="nil"/>
              <w:bottom w:val="nil"/>
            </w:tcBorders>
          </w:tcPr>
          <w:p>
            <w:pPr>
              <w:pStyle w:val="4"/>
            </w:pPr>
            <w:r>
              <w:rPr>
                <w:sz w:val="20"/>
              </w:rPr>
              <w:t>Рукавицы комбинированные</w:t>
            </w:r>
          </w:p>
        </w:tc>
        <w:tc>
          <w:tcPr>
            <w:tcW w:w="1849" w:type="dxa"/>
            <w:tcBorders>
              <w:top w:val="nil"/>
              <w:bottom w:val="nil"/>
            </w:tcBorders>
          </w:tcPr>
          <w:p>
            <w:pPr>
              <w:pStyle w:val="4"/>
              <w:jc w:val="center"/>
            </w:pPr>
            <w:r>
              <w:rPr>
                <w:sz w:val="20"/>
              </w:rPr>
              <w:t>Ми</w:t>
            </w:r>
          </w:p>
        </w:tc>
        <w:tc>
          <w:tcPr>
            <w:tcW w:w="1219" w:type="dxa"/>
            <w:tcBorders>
              <w:top w:val="nil"/>
              <w:bottom w:val="nil"/>
            </w:tcBorders>
          </w:tcPr>
          <w:p>
            <w:pPr>
              <w:pStyle w:val="4"/>
              <w:jc w:val="both"/>
            </w:pPr>
            <w:r>
              <w:rPr>
                <w:sz w:val="20"/>
              </w:rPr>
              <w:t>До износа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single" w:color="auto" w:sz="4" w:space="0"/>
          </w:tblBorders>
          <w:tblLayout w:type="fixed"/>
          <w:tblCellMar>
            <w:top w:w="102" w:type="dxa"/>
            <w:left w:w="62" w:type="dxa"/>
            <w:bottom w:w="102" w:type="dxa"/>
            <w:right w:w="62" w:type="dxa"/>
          </w:tblCellMar>
        </w:tblPrEx>
        <w:tc>
          <w:tcPr>
            <w:tcW w:w="567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1279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3019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2674" w:type="dxa"/>
            <w:tcBorders>
              <w:top w:val="nil"/>
              <w:bottom w:val="nil"/>
            </w:tcBorders>
          </w:tcPr>
          <w:p>
            <w:pPr>
              <w:pStyle w:val="4"/>
            </w:pPr>
            <w:r>
              <w:rPr>
                <w:sz w:val="20"/>
              </w:rPr>
              <w:t>Очки защитные</w:t>
            </w:r>
          </w:p>
        </w:tc>
        <w:tc>
          <w:tcPr>
            <w:tcW w:w="1849" w:type="dxa"/>
            <w:tcBorders>
              <w:top w:val="nil"/>
              <w:bottom w:val="nil"/>
            </w:tcBorders>
          </w:tcPr>
          <w:p>
            <w:pPr>
              <w:pStyle w:val="4"/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>
            <w:pPr>
              <w:pStyle w:val="4"/>
              <w:jc w:val="both"/>
            </w:pPr>
            <w:r>
              <w:rPr>
                <w:sz w:val="20"/>
              </w:rPr>
              <w:t>До износа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single" w:color="auto" w:sz="4" w:space="0"/>
          </w:tblBorders>
          <w:tblLayout w:type="fixed"/>
          <w:tblCellMar>
            <w:top w:w="102" w:type="dxa"/>
            <w:left w:w="62" w:type="dxa"/>
            <w:bottom w:w="102" w:type="dxa"/>
            <w:right w:w="62" w:type="dxa"/>
          </w:tblCellMar>
        </w:tblPrEx>
        <w:tc>
          <w:tcPr>
            <w:tcW w:w="567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1279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3019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2674" w:type="dxa"/>
            <w:tcBorders>
              <w:top w:val="nil"/>
              <w:bottom w:val="nil"/>
            </w:tcBorders>
          </w:tcPr>
          <w:p>
            <w:pPr>
              <w:pStyle w:val="4"/>
            </w:pPr>
            <w:r>
              <w:rPr>
                <w:sz w:val="20"/>
              </w:rPr>
              <w:t>Каска защитная</w:t>
            </w:r>
          </w:p>
        </w:tc>
        <w:tc>
          <w:tcPr>
            <w:tcW w:w="1849" w:type="dxa"/>
            <w:tcBorders>
              <w:top w:val="nil"/>
              <w:bottom w:val="nil"/>
            </w:tcBorders>
          </w:tcPr>
          <w:p>
            <w:pPr>
              <w:pStyle w:val="4"/>
              <w:jc w:val="center"/>
            </w:pPr>
            <w:r>
              <w:rPr>
                <w:sz w:val="20"/>
              </w:rPr>
              <w:t>Зп</w:t>
            </w:r>
          </w:p>
        </w:tc>
        <w:tc>
          <w:tcPr>
            <w:tcW w:w="1219" w:type="dxa"/>
            <w:tcBorders>
              <w:top w:val="nil"/>
              <w:bottom w:val="nil"/>
            </w:tcBorders>
          </w:tcPr>
          <w:p>
            <w:pPr>
              <w:pStyle w:val="4"/>
              <w:jc w:val="both"/>
            </w:pPr>
            <w:r>
              <w:rPr>
                <w:sz w:val="20"/>
              </w:rPr>
              <w:t>До износа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single" w:color="auto" w:sz="4" w:space="0"/>
          </w:tblBorders>
          <w:tblLayout w:type="fixed"/>
          <w:tblCellMar>
            <w:top w:w="102" w:type="dxa"/>
            <w:left w:w="62" w:type="dxa"/>
            <w:bottom w:w="102" w:type="dxa"/>
            <w:right w:w="62" w:type="dxa"/>
          </w:tblCellMar>
        </w:tblPrEx>
        <w:tc>
          <w:tcPr>
            <w:tcW w:w="567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1279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3019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2674" w:type="dxa"/>
            <w:tcBorders>
              <w:top w:val="nil"/>
              <w:bottom w:val="nil"/>
            </w:tcBorders>
          </w:tcPr>
          <w:p>
            <w:pPr>
              <w:pStyle w:val="4"/>
            </w:pPr>
            <w:r>
              <w:rPr>
                <w:sz w:val="20"/>
              </w:rPr>
              <w:t>При работе в изолированной (чистой) зоне типа D дополнительно:</w:t>
            </w:r>
          </w:p>
        </w:tc>
        <w:tc>
          <w:tcPr>
            <w:tcW w:w="1849" w:type="dxa"/>
            <w:tcBorders>
              <w:top w:val="nil"/>
              <w:bottom w:val="nil"/>
            </w:tcBorders>
          </w:tcPr>
          <w:p>
            <w:pPr>
              <w:pStyle w:val="4"/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>
            <w:pPr>
              <w:pStyle w:val="4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single" w:color="auto" w:sz="4" w:space="0"/>
          </w:tblBorders>
          <w:tblLayout w:type="fixed"/>
          <w:tblCellMar>
            <w:top w:w="102" w:type="dxa"/>
            <w:left w:w="62" w:type="dxa"/>
            <w:bottom w:w="102" w:type="dxa"/>
            <w:right w:w="62" w:type="dxa"/>
          </w:tblCellMar>
        </w:tblPrEx>
        <w:tc>
          <w:tcPr>
            <w:tcW w:w="567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1279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3019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2674" w:type="dxa"/>
            <w:tcBorders>
              <w:top w:val="nil"/>
              <w:bottom w:val="nil"/>
            </w:tcBorders>
          </w:tcPr>
          <w:p>
            <w:pPr>
              <w:pStyle w:val="4"/>
            </w:pPr>
            <w:r>
              <w:rPr>
                <w:sz w:val="20"/>
              </w:rPr>
              <w:t>костюм из полиэфирно-вискозной ткани (халат из полиэфирно-вискозной ткани)</w:t>
            </w:r>
          </w:p>
        </w:tc>
        <w:tc>
          <w:tcPr>
            <w:tcW w:w="1849" w:type="dxa"/>
            <w:tcBorders>
              <w:top w:val="nil"/>
              <w:bottom w:val="nil"/>
            </w:tcBorders>
          </w:tcPr>
          <w:p>
            <w:pPr>
              <w:pStyle w:val="4"/>
              <w:jc w:val="center"/>
            </w:pPr>
            <w:r>
              <w:rPr>
                <w:sz w:val="20"/>
              </w:rPr>
              <w:t>Бм</w:t>
            </w:r>
          </w:p>
        </w:tc>
        <w:tc>
          <w:tcPr>
            <w:tcW w:w="1219" w:type="dxa"/>
            <w:tcBorders>
              <w:top w:val="nil"/>
              <w:bottom w:val="nil"/>
            </w:tcBorders>
          </w:tcPr>
          <w:p>
            <w:pPr>
              <w:pStyle w:val="4"/>
              <w:jc w:val="center"/>
            </w:pPr>
            <w:r>
              <w:rPr>
                <w:sz w:val="20"/>
              </w:rPr>
              <w:t>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single" w:color="auto" w:sz="4" w:space="0"/>
          </w:tblBorders>
          <w:tblLayout w:type="fixed"/>
          <w:tblCellMar>
            <w:top w:w="102" w:type="dxa"/>
            <w:left w:w="62" w:type="dxa"/>
            <w:bottom w:w="102" w:type="dxa"/>
            <w:right w:w="62" w:type="dxa"/>
          </w:tblCellMar>
        </w:tblPrEx>
        <w:tc>
          <w:tcPr>
            <w:tcW w:w="567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1279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3019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2674" w:type="dxa"/>
            <w:tcBorders>
              <w:top w:val="nil"/>
              <w:bottom w:val="nil"/>
            </w:tcBorders>
          </w:tcPr>
          <w:p>
            <w:pPr>
              <w:pStyle w:val="4"/>
            </w:pPr>
            <w:r>
              <w:rPr>
                <w:sz w:val="20"/>
              </w:rPr>
              <w:t>головной убор из полиэфирно-вискозной ткани</w:t>
            </w:r>
          </w:p>
        </w:tc>
        <w:tc>
          <w:tcPr>
            <w:tcW w:w="1849" w:type="dxa"/>
            <w:tcBorders>
              <w:top w:val="nil"/>
              <w:bottom w:val="nil"/>
            </w:tcBorders>
          </w:tcPr>
          <w:p>
            <w:pPr>
              <w:pStyle w:val="4"/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>
            <w:pPr>
              <w:pStyle w:val="4"/>
              <w:jc w:val="center"/>
            </w:pPr>
            <w:r>
              <w:rPr>
                <w:sz w:val="20"/>
              </w:rPr>
              <w:t>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single" w:color="auto" w:sz="4" w:space="0"/>
          </w:tblBorders>
          <w:tblLayout w:type="fixed"/>
          <w:tblCellMar>
            <w:top w:w="102" w:type="dxa"/>
            <w:left w:w="62" w:type="dxa"/>
            <w:bottom w:w="102" w:type="dxa"/>
            <w:right w:w="62" w:type="dxa"/>
          </w:tblCellMar>
        </w:tblPrEx>
        <w:tc>
          <w:tcPr>
            <w:tcW w:w="567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1279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3019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2674" w:type="dxa"/>
            <w:tcBorders>
              <w:top w:val="nil"/>
              <w:bottom w:val="nil"/>
            </w:tcBorders>
          </w:tcPr>
          <w:p>
            <w:pPr>
              <w:pStyle w:val="4"/>
            </w:pPr>
            <w:r>
              <w:rPr>
                <w:sz w:val="20"/>
              </w:rPr>
              <w:t>тапочки кожаные</w:t>
            </w:r>
          </w:p>
        </w:tc>
        <w:tc>
          <w:tcPr>
            <w:tcW w:w="1849" w:type="dxa"/>
            <w:tcBorders>
              <w:top w:val="nil"/>
              <w:bottom w:val="nil"/>
            </w:tcBorders>
          </w:tcPr>
          <w:p>
            <w:pPr>
              <w:pStyle w:val="4"/>
              <w:jc w:val="center"/>
            </w:pPr>
            <w:r>
              <w:rPr>
                <w:sz w:val="20"/>
              </w:rPr>
              <w:t>Бм</w:t>
            </w:r>
          </w:p>
        </w:tc>
        <w:tc>
          <w:tcPr>
            <w:tcW w:w="1219" w:type="dxa"/>
            <w:tcBorders>
              <w:top w:val="nil"/>
              <w:bottom w:val="nil"/>
            </w:tcBorders>
          </w:tcPr>
          <w:p>
            <w:pPr>
              <w:pStyle w:val="4"/>
              <w:jc w:val="center"/>
            </w:pPr>
            <w:r>
              <w:rPr>
                <w:sz w:val="20"/>
              </w:rPr>
              <w:t>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single" w:color="auto" w:sz="4" w:space="0"/>
          </w:tblBorders>
          <w:tblLayout w:type="fixed"/>
          <w:tblCellMar>
            <w:top w:w="102" w:type="dxa"/>
            <w:left w:w="62" w:type="dxa"/>
            <w:bottom w:w="102" w:type="dxa"/>
            <w:right w:w="62" w:type="dxa"/>
          </w:tblCellMar>
        </w:tblPrEx>
        <w:tc>
          <w:tcPr>
            <w:tcW w:w="567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1279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3019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2674" w:type="dxa"/>
            <w:tcBorders>
              <w:top w:val="nil"/>
              <w:bottom w:val="nil"/>
            </w:tcBorders>
          </w:tcPr>
          <w:p>
            <w:pPr>
              <w:pStyle w:val="4"/>
            </w:pPr>
            <w:r>
              <w:rPr>
                <w:sz w:val="20"/>
              </w:rPr>
              <w:t>бахилы из полиэфирно-вискозной ткани с непромокаемой подошвой</w:t>
            </w:r>
          </w:p>
        </w:tc>
        <w:tc>
          <w:tcPr>
            <w:tcW w:w="1849" w:type="dxa"/>
            <w:tcBorders>
              <w:top w:val="nil"/>
              <w:bottom w:val="nil"/>
            </w:tcBorders>
          </w:tcPr>
          <w:p>
            <w:pPr>
              <w:pStyle w:val="4"/>
              <w:jc w:val="center"/>
            </w:pPr>
            <w:r>
              <w:rPr>
                <w:sz w:val="20"/>
              </w:rPr>
              <w:t>Бм</w:t>
            </w:r>
          </w:p>
        </w:tc>
        <w:tc>
          <w:tcPr>
            <w:tcW w:w="1219" w:type="dxa"/>
            <w:tcBorders>
              <w:top w:val="nil"/>
              <w:bottom w:val="nil"/>
            </w:tcBorders>
          </w:tcPr>
          <w:p>
            <w:pPr>
              <w:pStyle w:val="4"/>
              <w:jc w:val="both"/>
            </w:pPr>
            <w:r>
              <w:rPr>
                <w:sz w:val="20"/>
              </w:rPr>
              <w:t>До износа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single" w:color="auto" w:sz="4" w:space="0"/>
          </w:tblBorders>
          <w:tblLayout w:type="fixed"/>
          <w:tblCellMar>
            <w:top w:w="102" w:type="dxa"/>
            <w:left w:w="62" w:type="dxa"/>
            <w:bottom w:w="102" w:type="dxa"/>
            <w:right w:w="62" w:type="dxa"/>
          </w:tblCellMar>
        </w:tblPrEx>
        <w:tc>
          <w:tcPr>
            <w:tcW w:w="567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1279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3019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2674" w:type="dxa"/>
            <w:tcBorders>
              <w:top w:val="nil"/>
              <w:bottom w:val="nil"/>
            </w:tcBorders>
          </w:tcPr>
          <w:p>
            <w:pPr>
              <w:pStyle w:val="4"/>
            </w:pPr>
            <w:r>
              <w:rPr>
                <w:sz w:val="20"/>
              </w:rPr>
              <w:t>При работе в мокрых условиях дополнительно:</w:t>
            </w:r>
          </w:p>
        </w:tc>
        <w:tc>
          <w:tcPr>
            <w:tcW w:w="1849" w:type="dxa"/>
            <w:tcBorders>
              <w:top w:val="nil"/>
              <w:bottom w:val="nil"/>
            </w:tcBorders>
          </w:tcPr>
          <w:p>
            <w:pPr>
              <w:pStyle w:val="4"/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>
            <w:pPr>
              <w:pStyle w:val="4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single" w:color="auto" w:sz="4" w:space="0"/>
          </w:tblBorders>
          <w:tblLayout w:type="fixed"/>
          <w:tblCellMar>
            <w:top w:w="102" w:type="dxa"/>
            <w:left w:w="62" w:type="dxa"/>
            <w:bottom w:w="102" w:type="dxa"/>
            <w:right w:w="62" w:type="dxa"/>
          </w:tblCellMar>
        </w:tblPrEx>
        <w:tc>
          <w:tcPr>
            <w:tcW w:w="567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1279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3019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2674" w:type="dxa"/>
            <w:tcBorders>
              <w:top w:val="nil"/>
              <w:bottom w:val="nil"/>
            </w:tcBorders>
          </w:tcPr>
          <w:p>
            <w:pPr>
              <w:pStyle w:val="4"/>
            </w:pPr>
            <w:r>
              <w:rPr>
                <w:sz w:val="20"/>
              </w:rPr>
              <w:t>сапоги резиновые</w:t>
            </w:r>
          </w:p>
        </w:tc>
        <w:tc>
          <w:tcPr>
            <w:tcW w:w="1849" w:type="dxa"/>
            <w:tcBorders>
              <w:top w:val="nil"/>
              <w:bottom w:val="nil"/>
            </w:tcBorders>
          </w:tcPr>
          <w:p>
            <w:pPr>
              <w:pStyle w:val="4"/>
              <w:jc w:val="center"/>
            </w:pPr>
            <w:r>
              <w:rPr>
                <w:sz w:val="20"/>
              </w:rPr>
              <w:t>Вн</w:t>
            </w:r>
          </w:p>
        </w:tc>
        <w:tc>
          <w:tcPr>
            <w:tcW w:w="1219" w:type="dxa"/>
            <w:tcBorders>
              <w:top w:val="nil"/>
              <w:bottom w:val="nil"/>
            </w:tcBorders>
          </w:tcPr>
          <w:p>
            <w:pPr>
              <w:pStyle w:val="4"/>
              <w:jc w:val="both"/>
            </w:pPr>
            <w:r>
              <w:rPr>
                <w:sz w:val="20"/>
              </w:rPr>
              <w:t>До износа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single" w:color="auto" w:sz="4" w:space="0"/>
          </w:tblBorders>
          <w:tblLayout w:type="fixed"/>
          <w:tblCellMar>
            <w:top w:w="102" w:type="dxa"/>
            <w:left w:w="62" w:type="dxa"/>
            <w:bottom w:w="102" w:type="dxa"/>
            <w:right w:w="62" w:type="dxa"/>
          </w:tblCellMar>
        </w:tblPrEx>
        <w:tc>
          <w:tcPr>
            <w:tcW w:w="567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1279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3019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2674" w:type="dxa"/>
            <w:tcBorders>
              <w:top w:val="nil"/>
              <w:bottom w:val="nil"/>
            </w:tcBorders>
          </w:tcPr>
          <w:p>
            <w:pPr>
              <w:pStyle w:val="4"/>
            </w:pPr>
            <w:r>
              <w:rPr>
                <w:sz w:val="20"/>
              </w:rPr>
              <w:t>В холодное время года на наружных работах дополнительно:</w:t>
            </w:r>
          </w:p>
        </w:tc>
        <w:tc>
          <w:tcPr>
            <w:tcW w:w="1849" w:type="dxa"/>
            <w:tcBorders>
              <w:top w:val="nil"/>
              <w:bottom w:val="nil"/>
            </w:tcBorders>
          </w:tcPr>
          <w:p>
            <w:pPr>
              <w:pStyle w:val="4"/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>
            <w:pPr>
              <w:pStyle w:val="4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single" w:color="auto" w:sz="4" w:space="0"/>
          </w:tblBorders>
          <w:tblLayout w:type="fixed"/>
          <w:tblCellMar>
            <w:top w:w="102" w:type="dxa"/>
            <w:left w:w="62" w:type="dxa"/>
            <w:bottom w:w="102" w:type="dxa"/>
            <w:right w:w="62" w:type="dxa"/>
          </w:tblCellMar>
        </w:tblPrEx>
        <w:tc>
          <w:tcPr>
            <w:tcW w:w="567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1279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3019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2674" w:type="dxa"/>
            <w:tcBorders>
              <w:top w:val="nil"/>
              <w:bottom w:val="nil"/>
            </w:tcBorders>
          </w:tcPr>
          <w:p>
            <w:pPr>
              <w:pStyle w:val="4"/>
            </w:pPr>
            <w:r>
              <w:rPr>
                <w:sz w:val="20"/>
              </w:rPr>
              <w:t>куртка хлопчатобумажная на утепляющей прокладке</w:t>
            </w:r>
          </w:p>
        </w:tc>
        <w:tc>
          <w:tcPr>
            <w:tcW w:w="1849" w:type="dxa"/>
            <w:tcBorders>
              <w:top w:val="nil"/>
              <w:bottom w:val="nil"/>
            </w:tcBorders>
          </w:tcPr>
          <w:p>
            <w:pPr>
              <w:pStyle w:val="4"/>
              <w:jc w:val="center"/>
            </w:pPr>
            <w:r>
              <w:rPr>
                <w:sz w:val="20"/>
              </w:rPr>
              <w:t>Тн</w:t>
            </w:r>
          </w:p>
        </w:tc>
        <w:tc>
          <w:tcPr>
            <w:tcW w:w="1219" w:type="dxa"/>
            <w:tcBorders>
              <w:top w:val="nil"/>
              <w:bottom w:val="nil"/>
            </w:tcBorders>
          </w:tcPr>
          <w:p>
            <w:pPr>
              <w:pStyle w:val="4"/>
              <w:jc w:val="center"/>
            </w:pPr>
            <w:r>
              <w:rPr>
                <w:sz w:val="20"/>
              </w:rPr>
              <w:t>36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02" w:type="dxa"/>
            <w:left w:w="62" w:type="dxa"/>
            <w:bottom w:w="102" w:type="dxa"/>
            <w:right w:w="62" w:type="dxa"/>
          </w:tblCellMar>
        </w:tblPrEx>
        <w:tc>
          <w:tcPr>
            <w:tcW w:w="567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1279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3019" w:type="dxa"/>
            <w:vMerge w:val="continue"/>
            <w:tcBorders>
              <w:top w:val="single" w:color="auto" w:sz="4" w:space="0"/>
              <w:bottom w:val="single" w:color="auto" w:sz="4" w:space="0"/>
            </w:tcBorders>
          </w:tcPr>
          <w:p/>
        </w:tc>
        <w:tc>
          <w:tcPr>
            <w:tcW w:w="2674" w:type="dxa"/>
            <w:tcBorders>
              <w:top w:val="nil"/>
              <w:bottom w:val="single" w:color="auto" w:sz="4" w:space="0"/>
            </w:tcBorders>
          </w:tcPr>
          <w:p>
            <w:pPr>
              <w:pStyle w:val="4"/>
            </w:pPr>
            <w:r>
              <w:rPr>
                <w:sz w:val="20"/>
              </w:rPr>
              <w:t>сапоги кирзовые утепленные (валяная обувь на резиновой подошве)</w:t>
            </w:r>
          </w:p>
        </w:tc>
        <w:tc>
          <w:tcPr>
            <w:tcW w:w="1849" w:type="dxa"/>
            <w:tcBorders>
              <w:top w:val="nil"/>
              <w:bottom w:val="single" w:color="auto" w:sz="4" w:space="0"/>
            </w:tcBorders>
          </w:tcPr>
          <w:p>
            <w:pPr>
              <w:pStyle w:val="4"/>
              <w:jc w:val="center"/>
            </w:pPr>
            <w:r>
              <w:rPr>
                <w:sz w:val="20"/>
              </w:rPr>
              <w:t>Тн20</w:t>
            </w:r>
          </w:p>
        </w:tc>
        <w:tc>
          <w:tcPr>
            <w:tcW w:w="1219" w:type="dxa"/>
            <w:tcBorders>
              <w:top w:val="nil"/>
              <w:bottom w:val="single" w:color="auto" w:sz="4" w:space="0"/>
            </w:tcBorders>
          </w:tcPr>
          <w:p>
            <w:pPr>
              <w:pStyle w:val="4"/>
              <w:jc w:val="center"/>
            </w:pPr>
            <w:r>
              <w:rPr>
                <w:sz w:val="20"/>
              </w:rPr>
              <w:t>24</w:t>
            </w:r>
          </w:p>
        </w:tc>
      </w:tr>
    </w:tbl>
    <w:p>
      <w:pPr>
        <w:pStyle w:val="4"/>
      </w:pPr>
      <w:r>
        <w:fldChar w:fldCharType="begin"/>
      </w:r>
      <w:r>
        <w:instrText xml:space="preserve">HYPERLINK "consultantplus://offline/ref=31EFCBC4D6CCBBE2FF5E3E1F59281BFA96479195D430DA366E4C899D75CD9BE8CDE81188198B57234AFD6A8Bj5YAI"</w:instrText>
      </w:r>
      <w:r>
        <w:fldChar w:fldCharType="separate"/>
      </w:r>
      <w:r>
        <w:rPr>
          <w:i/>
          <w:color w:val="0000FF"/>
          <w:sz w:val="20"/>
        </w:rPr>
        <w:br w:type="textWrapping"/>
      </w:r>
      <w:r>
        <w:rPr>
          <w:i/>
          <w:color w:val="0000FF"/>
          <w:sz w:val="20"/>
        </w:rPr>
        <w:t xml:space="preserve">гл. 8, Постановление Министерства труда и социальной защиты Республики Беларусь от 14.11.2006 N 142 (ред. от 01.09.2008) "Об утверждении </w:t>
      </w:r>
      <w:bookmarkStart w:id="0" w:name="_GoBack"/>
      <w:r>
        <w:rPr>
          <w:i/>
          <w:color w:val="0000FF"/>
          <w:sz w:val="20"/>
        </w:rPr>
        <w:t>Типовых отраслевых норм бесплатной выдачи средств индивидуальной защиты работникам, занятым производством лекарственных средств и изделий медицинского назначения для использования в медицинских целях и ветеринарии</w:t>
      </w:r>
      <w:bookmarkEnd w:id="0"/>
      <w:r>
        <w:rPr>
          <w:i/>
          <w:color w:val="0000FF"/>
          <w:sz w:val="20"/>
        </w:rPr>
        <w:t>" {КонсультантПлюс}</w:t>
      </w:r>
      <w:r>
        <w:fldChar w:fldCharType="end"/>
      </w:r>
      <w:r>
        <w:rPr>
          <w:sz w:val="20"/>
        </w:rPr>
        <w:br w:type="textWrapping"/>
      </w:r>
    </w:p>
    <w:p/>
    <w:sectPr>
      <w:pgSz w:w="16838" w:h="11906" w:orient="landscape"/>
      <w:pgMar w:top="1800" w:right="1440" w:bottom="1800" w:left="1440" w:header="720" w:footer="720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SimHei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AA642B3"/>
    <w:rsid w:val="6AA642B3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</w:latentStyles>
  <w:style w:type="paragraph" w:default="1" w:styleId="1">
    <w:name w:val="Normal"/>
    <w:qFormat/>
    <w:uiPriority w:val="0"/>
    <w:rPr>
      <w:rFonts w:asciiTheme="minorHAnsi" w:hAnsiTheme="minorHAnsi" w:eastAsiaTheme="minorEastAsia" w:cstheme="minorBidi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ConsPlusNormal"/>
    <w:uiPriority w:val="0"/>
    <w:pPr>
      <w:widowControl w:val="0"/>
      <w:autoSpaceDE w:val="0"/>
      <w:autoSpaceDN w:val="0"/>
      <w:adjustRightInd w:val="0"/>
    </w:pPr>
    <w:rPr>
      <w:rFonts w:ascii="Calibri" w:hAnsi="Calibri" w:cs="Calibri"/>
      <w:sz w:val="20"/>
    </w:rPr>
  </w:style>
  <w:style w:type="paragraph" w:customStyle="1" w:styleId="5">
    <w:name w:val="ConsPlusNonformat"/>
    <w:uiPriority w:val="0"/>
    <w:pPr>
      <w:widowControl w:val="0"/>
      <w:autoSpaceDE w:val="0"/>
      <w:autoSpaceDN w:val="0"/>
      <w:adjustRightInd w:val="0"/>
    </w:pPr>
    <w:rPr>
      <w:rFonts w:ascii="Courier New" w:hAnsi="Courier New" w:cs="Courier New"/>
      <w:sz w:val="20"/>
    </w:rPr>
  </w:style>
  <w:style w:type="paragraph" w:customStyle="1" w:styleId="6">
    <w:name w:val="ConsPlusTitle"/>
    <w:uiPriority w:val="0"/>
    <w:pPr>
      <w:widowControl w:val="0"/>
      <w:autoSpaceDE w:val="0"/>
      <w:autoSpaceDN w:val="0"/>
      <w:adjustRightInd w:val="0"/>
    </w:pPr>
    <w:rPr>
      <w:rFonts w:ascii="Calibri" w:hAnsi="Calibri" w:cs="Calibri"/>
      <w:b/>
      <w:sz w:val="20"/>
    </w:rPr>
  </w:style>
  <w:style w:type="paragraph" w:customStyle="1" w:styleId="7">
    <w:name w:val="ConsPlusCell"/>
    <w:uiPriority w:val="0"/>
    <w:pPr>
      <w:widowControl w:val="0"/>
      <w:autoSpaceDE w:val="0"/>
      <w:autoSpaceDN w:val="0"/>
      <w:adjustRightInd w:val="0"/>
    </w:pPr>
    <w:rPr>
      <w:rFonts w:ascii="Courier New" w:hAnsi="Courier New" w:cs="Courier New"/>
      <w:sz w:val="20"/>
    </w:rPr>
  </w:style>
  <w:style w:type="paragraph" w:customStyle="1" w:styleId="8">
    <w:name w:val="ConsPlusDocList"/>
    <w:uiPriority w:val="0"/>
    <w:pPr>
      <w:widowControl w:val="0"/>
      <w:autoSpaceDE w:val="0"/>
      <w:autoSpaceDN w:val="0"/>
      <w:adjustRightInd w:val="0"/>
    </w:pPr>
    <w:rPr>
      <w:rFonts w:ascii="Courier New" w:hAnsi="Courier New" w:cs="Courier New"/>
      <w:sz w:val="20"/>
    </w:rPr>
  </w:style>
  <w:style w:type="paragraph" w:customStyle="1" w:styleId="9">
    <w:name w:val="ConsPlusTitlePage"/>
    <w:uiPriority w:val="0"/>
    <w:pPr>
      <w:widowControl w:val="0"/>
      <w:autoSpaceDE w:val="0"/>
      <w:autoSpaceDN w:val="0"/>
      <w:adjustRightInd w:val="0"/>
    </w:pPr>
    <w:rPr>
      <w:rFonts w:ascii="Tahoma" w:hAnsi="Tahoma" w:cs="Tahoma"/>
      <w:sz w:val="20"/>
    </w:rPr>
  </w:style>
  <w:style w:type="paragraph" w:customStyle="1" w:styleId="10">
    <w:name w:val="ConsPlusJurTerm"/>
    <w:uiPriority w:val="0"/>
    <w:pPr>
      <w:widowControl w:val="0"/>
      <w:autoSpaceDE w:val="0"/>
      <w:autoSpaceDN w:val="0"/>
      <w:adjustRightInd w:val="0"/>
    </w:pPr>
    <w:rPr>
      <w:rFonts w:ascii="Tahoma" w:hAnsi="Tahoma" w:cs="Tahoma"/>
      <w:sz w:val="26"/>
    </w:rPr>
  </w:style>
  <w:style w:type="paragraph" w:customStyle="1" w:styleId="11">
    <w:name w:val="ConsPlusTextList"/>
    <w:uiPriority w:val="0"/>
    <w:pPr>
      <w:widowControl w:val="0"/>
      <w:autoSpaceDE w:val="0"/>
      <w:autoSpaceDN w:val="0"/>
      <w:adjustRightInd w:val="0"/>
    </w:pPr>
    <w:rPr>
      <w:rFonts w:ascii="Arial" w:hAnsi="Arial" w:cs="Arial"/>
      <w:sz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КонсультантПлюс Версия 4017.00.96</Company>
  <Pages>1</Pages>
  <Words>0</Words>
  <Characters>0</Characters>
  <Lines>0</Lines>
  <Paragraphs>0</Paragraphs>
  <ScaleCrop>false</ScaleCrop>
  <LinksUpToDate>false</LinksUpToDate>
  <CharactersWithSpaces>0</CharactersWithSpaces>
  <Application>WPS Office_10.2.0.5871_F1E327BC-269C-435d-A152-05C5408002CA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1899-12-29T21:00:00Z</dcterms:created>
  <dc:creator>evtuh_ii</dc:creator>
  <cp:lastModifiedBy>evtuh_ii</cp:lastModifiedBy>
  <dcterms:modified xsi:type="dcterms:W3CDTF">2021-01-18T08:29:45Z</dcterms:modified>
  <dc:title>Постановление Министерства труда и социальной защиты Республики Беларусь от 14.11.2006 N 142
(ред. от 01.09.2008)
"Об утверждении Типовых отраслевых норм бесплатной выдачи средств индивидуальной защиты работникам, занятым производством лекарственных средств и изделий медицинского назначения для использования в медицинских целях и ветеринарии"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1049-10.2.0.5871</vt:lpwstr>
  </property>
</Properties>
</file>