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C24" w:rsidRDefault="00750C24">
      <w:pPr>
        <w:pStyle w:val="newncpi0"/>
        <w:jc w:val="center"/>
      </w:pPr>
      <w:r>
        <w:rPr>
          <w:rStyle w:val="name"/>
        </w:rPr>
        <w:t>ПРИКАЗ </w:t>
      </w:r>
      <w:r>
        <w:rPr>
          <w:rStyle w:val="promulgator"/>
        </w:rPr>
        <w:t>ГЛАВНОГО ГОСУДАРСТВЕННОГО ИНСПЕКТОРА РЕСПУБЛИКИ БЕЛАРУСЬ ПО ПОЖАРНОМУ НАДЗОРУ</w:t>
      </w:r>
    </w:p>
    <w:p w:rsidR="00750C24" w:rsidRDefault="00750C24">
      <w:pPr>
        <w:pStyle w:val="newncpi"/>
        <w:ind w:firstLine="0"/>
        <w:jc w:val="center"/>
      </w:pPr>
      <w:r>
        <w:rPr>
          <w:rStyle w:val="datepr"/>
        </w:rPr>
        <w:t>28 апреля 2016 г.</w:t>
      </w:r>
      <w:r>
        <w:rPr>
          <w:rStyle w:val="number"/>
        </w:rPr>
        <w:t xml:space="preserve"> № 110</w:t>
      </w:r>
    </w:p>
    <w:p w:rsidR="00750C24" w:rsidRDefault="00750C24">
      <w:pPr>
        <w:pStyle w:val="titlencpi"/>
      </w:pPr>
      <w:bookmarkStart w:id="0" w:name="_GoBack"/>
      <w:r>
        <w:t>О внесении изменений и дополнений в нормы пожарной безопасности Республики Беларусь НПБ 15-2007</w:t>
      </w:r>
    </w:p>
    <w:bookmarkEnd w:id="0"/>
    <w:p w:rsidR="00750C24" w:rsidRDefault="00750C24">
      <w:pPr>
        <w:pStyle w:val="preamble"/>
      </w:pPr>
      <w:r>
        <w:t>На основании статьи 36 Закона Республики Беларусь от 15 июня 1993 года «О пожарной безопасности» ПРИКАЗЫВАЮ:</w:t>
      </w:r>
    </w:p>
    <w:p w:rsidR="00750C24" w:rsidRDefault="00750C24">
      <w:pPr>
        <w:pStyle w:val="point"/>
      </w:pPr>
      <w:r>
        <w:t>1. Внести в Нормы пожарной безопасности Республики Беларусь «Нормы пожарной безопасности Республики Беларусь. Область применения автоматических систем пожарной сигнализации и установок пожаротушения. НПБ 15-2007», утвержденные приказом Главного государственного инспектора Республики Беларусь по пожарному надзору от 10 декабря 2007 г. № 167, следующие изменения и дополнения:</w:t>
      </w:r>
    </w:p>
    <w:p w:rsidR="00750C24" w:rsidRDefault="00750C24">
      <w:pPr>
        <w:pStyle w:val="newncpi"/>
      </w:pPr>
      <w:r>
        <w:t>в части первой пункта 1 слово «ЧС» заменить словом «пожаре»;</w:t>
      </w:r>
    </w:p>
    <w:p w:rsidR="00750C24" w:rsidRDefault="00750C24">
      <w:pPr>
        <w:pStyle w:val="newncpi"/>
      </w:pPr>
      <w:r>
        <w:t>в пункте 6:</w:t>
      </w:r>
    </w:p>
    <w:p w:rsidR="00750C24" w:rsidRDefault="00750C24">
      <w:pPr>
        <w:pStyle w:val="newncpi"/>
      </w:pPr>
      <w:r>
        <w:t>подпункт 6.1 изложить в следующей редакции:</w:t>
      </w:r>
    </w:p>
    <w:p w:rsidR="00750C24" w:rsidRDefault="00750C24">
      <w:pPr>
        <w:pStyle w:val="point"/>
      </w:pPr>
      <w:r>
        <w:rPr>
          <w:rStyle w:val="rednoun"/>
        </w:rPr>
        <w:t>«</w:t>
      </w:r>
      <w:r>
        <w:t>6.1 помещения с мокрыми процессами (бассейны, душевые, умывальные, санузлы, курительные, камеры охлаждения, мойки, а также овощные, мясные и рыбные цеха с наличием моечного оборудования предприятий общественного питания и помещения хранения и подготовки к продаже мяса, рыбы, фруктов и овощей (в негорючей упаковке) предприятий торговли)</w:t>
      </w:r>
      <w:proofErr w:type="gramStart"/>
      <w:r>
        <w:t>;</w:t>
      </w:r>
      <w:r>
        <w:rPr>
          <w:rStyle w:val="rednoun"/>
        </w:rPr>
        <w:t>»</w:t>
      </w:r>
      <w:proofErr w:type="gramEnd"/>
    </w:p>
    <w:p w:rsidR="00750C24" w:rsidRDefault="00750C24">
      <w:pPr>
        <w:pStyle w:val="newncpi"/>
      </w:pPr>
      <w:r>
        <w:t>дополнить пункт подпунктом 6.9 следующего содержания:</w:t>
      </w:r>
    </w:p>
    <w:p w:rsidR="00750C24" w:rsidRDefault="00750C24">
      <w:pPr>
        <w:pStyle w:val="point"/>
      </w:pPr>
      <w:r>
        <w:rPr>
          <w:rStyle w:val="rednoun"/>
        </w:rPr>
        <w:t>«</w:t>
      </w:r>
      <w:r>
        <w:t>6.9 производственные и складские помещения, в которых перерабатываются (хранятся) зерно, мука, рапс, семена и комбикорм (за исключением случаев, когда в технологическом процессе переработки применяются ЛВЖ и ГЖ)</w:t>
      </w:r>
      <w:proofErr w:type="gramStart"/>
      <w:r>
        <w:t>.</w:t>
      </w:r>
      <w:r>
        <w:rPr>
          <w:rStyle w:val="rednoun"/>
        </w:rPr>
        <w:t>»</w:t>
      </w:r>
      <w:proofErr w:type="gramEnd"/>
      <w:r>
        <w:t>;</w:t>
      </w:r>
    </w:p>
    <w:p w:rsidR="00750C24" w:rsidRDefault="00750C24">
      <w:pPr>
        <w:pStyle w:val="newncpi"/>
      </w:pPr>
      <w:r>
        <w:t>подпункт 7.1 пункта 7 изложить в следующей редакции:</w:t>
      </w:r>
    </w:p>
    <w:p w:rsidR="00750C24" w:rsidRDefault="00750C24">
      <w:pPr>
        <w:pStyle w:val="point"/>
      </w:pPr>
      <w:r>
        <w:rPr>
          <w:rStyle w:val="rednoun"/>
        </w:rPr>
        <w:t>«</w:t>
      </w:r>
      <w:r>
        <w:t>7.1 помещения с газонаполненным оборудованием при отсутствии горючих материалов в помещении</w:t>
      </w:r>
      <w:proofErr w:type="gramStart"/>
      <w:r>
        <w:t>;</w:t>
      </w:r>
      <w:r>
        <w:rPr>
          <w:rStyle w:val="rednoun"/>
        </w:rPr>
        <w:t>»</w:t>
      </w:r>
      <w:proofErr w:type="gramEnd"/>
    </w:p>
    <w:p w:rsidR="00750C24" w:rsidRDefault="00750C24">
      <w:pPr>
        <w:pStyle w:val="newncpi"/>
      </w:pPr>
      <w:r>
        <w:t>пункт 10 дополнить абзацем семнадцатым следующего содержания:</w:t>
      </w:r>
    </w:p>
    <w:p w:rsidR="00750C24" w:rsidRDefault="00750C24">
      <w:pPr>
        <w:pStyle w:val="newncpi"/>
      </w:pPr>
      <w:r>
        <w:t>«здания с атриумами, при высоте атриума более 15 м</w:t>
      </w:r>
      <w:proofErr w:type="gramStart"/>
      <w:r>
        <w:t>;»</w:t>
      </w:r>
      <w:proofErr w:type="gramEnd"/>
      <w:r>
        <w:t>;</w:t>
      </w:r>
    </w:p>
    <w:p w:rsidR="00750C24" w:rsidRDefault="00750C24">
      <w:pPr>
        <w:pStyle w:val="newncpi"/>
      </w:pPr>
      <w:r>
        <w:t>в пункте 16 слово «ЧС» заменить словом «пожаре»;</w:t>
      </w:r>
    </w:p>
    <w:p w:rsidR="00750C24" w:rsidRDefault="00750C24">
      <w:pPr>
        <w:pStyle w:val="newncpi"/>
      </w:pPr>
      <w:r>
        <w:t>в таблице 1:</w:t>
      </w:r>
    </w:p>
    <w:p w:rsidR="00750C24" w:rsidRDefault="00750C24">
      <w:pPr>
        <w:pStyle w:val="newncpi"/>
      </w:pPr>
      <w:r>
        <w:t>в подпункте 1.1 пункта 1:</w:t>
      </w:r>
    </w:p>
    <w:p w:rsidR="00750C24" w:rsidRDefault="00750C24">
      <w:pPr>
        <w:pStyle w:val="newncpi"/>
      </w:pPr>
      <w:r>
        <w:t>из графы второй слова «(кроме помещений, расположенных в зданиях и сооружениях по переработке и хранению зерна и муки)» исключить;</w:t>
      </w:r>
    </w:p>
    <w:p w:rsidR="00750C24" w:rsidRDefault="00750C24">
      <w:pPr>
        <w:pStyle w:val="newncpi"/>
      </w:pPr>
      <w:r>
        <w:t>в графах третьей и четвертой цифры «300» заменить цифрами «500»;</w:t>
      </w:r>
    </w:p>
    <w:p w:rsidR="00750C24" w:rsidRDefault="00750C24">
      <w:pPr>
        <w:pStyle w:val="newncpi"/>
      </w:pPr>
      <w:r>
        <w:t>из графы второй подпункта 6.10 пункта 6 слова «(кроме помещений, расположенных в зданиях и сооружениях по переработке и хранению зерна и муки)» исключить;</w:t>
      </w:r>
    </w:p>
    <w:p w:rsidR="00750C24" w:rsidRDefault="00750C24">
      <w:pPr>
        <w:pStyle w:val="newncpi"/>
      </w:pPr>
      <w:r>
        <w:t>в подпункте 8.1 пункта 8:</w:t>
      </w:r>
    </w:p>
    <w:p w:rsidR="00750C24" w:rsidRDefault="00750C24">
      <w:pPr>
        <w:pStyle w:val="newncpi"/>
      </w:pPr>
      <w:r>
        <w:t>подпункты 8.1.5 и 8.1.6 изложить в следующей редакции:</w:t>
      </w:r>
    </w:p>
    <w:p w:rsidR="00750C24" w:rsidRDefault="00750C24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3336"/>
        <w:gridCol w:w="1737"/>
        <w:gridCol w:w="1791"/>
        <w:gridCol w:w="1930"/>
      </w:tblGrid>
      <w:tr w:rsidR="00750C24">
        <w:trPr>
          <w:trHeight w:val="24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«8.1.5</w:t>
            </w:r>
          </w:p>
        </w:tc>
        <w:tc>
          <w:tcPr>
            <w:tcW w:w="1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Здания класса Ф3.1 (все помещения, за исключением перечисленных в пунктах 6 и 7) с количеством этажей: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 </w:t>
            </w:r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 </w:t>
            </w:r>
          </w:p>
        </w:tc>
      </w:tr>
      <w:tr w:rsidR="00750C24">
        <w:trPr>
          <w:trHeight w:val="24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8.1.5.1</w:t>
            </w:r>
          </w:p>
        </w:tc>
        <w:tc>
          <w:tcPr>
            <w:tcW w:w="1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 xml:space="preserve">3 этажа и более (с учетом подвального </w:t>
            </w:r>
            <w:r>
              <w:br/>
              <w:t xml:space="preserve">и цокольного этажей при их наличии) при наибольшем значении площади этажа: 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Менее 300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300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  <w:r>
              <w:t xml:space="preserve"> и более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учитываются этажи с наличием торговых и (или) торгово-развлекательных площадей и (или) предприятий общественного питания</w:t>
            </w:r>
          </w:p>
        </w:tc>
      </w:tr>
      <w:tr w:rsidR="00750C24">
        <w:trPr>
          <w:trHeight w:val="24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lastRenderedPageBreak/>
              <w:t>8.1.5.2</w:t>
            </w:r>
          </w:p>
        </w:tc>
        <w:tc>
          <w:tcPr>
            <w:tcW w:w="1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2 этажа (с учетом подвального и цокольного этажей при их наличии) при наибольшем значении площади этажа: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Менее 3000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3000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  <w:r>
              <w:t xml:space="preserve"> и более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учитываются этажи с наличием торговых и (или) торгово-развлекательных площадей и (или) предприятий общественного питания</w:t>
            </w:r>
          </w:p>
        </w:tc>
      </w:tr>
      <w:tr w:rsidR="00750C24">
        <w:trPr>
          <w:trHeight w:val="240"/>
        </w:trPr>
        <w:tc>
          <w:tcPr>
            <w:tcW w:w="32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8.1.5.3</w:t>
            </w:r>
          </w:p>
        </w:tc>
        <w:tc>
          <w:tcPr>
            <w:tcW w:w="17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1 этаж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 </w:t>
            </w:r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0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 </w:t>
            </w:r>
          </w:p>
        </w:tc>
      </w:tr>
      <w:tr w:rsidR="00750C24">
        <w:trPr>
          <w:trHeight w:val="2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50C24" w:rsidRDefault="00750C24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775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при размещении торгового зала в надземном этаже здания при площади этажа:</w:t>
            </w:r>
          </w:p>
        </w:tc>
        <w:tc>
          <w:tcPr>
            <w:tcW w:w="92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Менее 3750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</w:p>
        </w:tc>
        <w:tc>
          <w:tcPr>
            <w:tcW w:w="95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3750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  <w:r>
              <w:t xml:space="preserve"> и более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750C24" w:rsidRDefault="00750C24">
            <w:pPr>
              <w:rPr>
                <w:rFonts w:eastAsiaTheme="minorEastAsia"/>
                <w:sz w:val="20"/>
                <w:szCs w:val="20"/>
              </w:rPr>
            </w:pPr>
          </w:p>
        </w:tc>
      </w:tr>
      <w:tr w:rsidR="00750C24">
        <w:trPr>
          <w:trHeight w:val="240"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newncpi"/>
              <w:jc w:val="center"/>
            </w:pPr>
            <w:r>
              <w:t> </w:t>
            </w:r>
          </w:p>
        </w:tc>
        <w:tc>
          <w:tcPr>
            <w:tcW w:w="177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proofErr w:type="gramStart"/>
            <w:r>
              <w:t>при размещении торгового зала в подвальном и цокольном (за исключением наземного) этажах</w:t>
            </w:r>
            <w:proofErr w:type="gramEnd"/>
          </w:p>
        </w:tc>
        <w:tc>
          <w:tcPr>
            <w:tcW w:w="92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Менее 200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</w:p>
        </w:tc>
        <w:tc>
          <w:tcPr>
            <w:tcW w:w="95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200 м</w:t>
            </w:r>
            <w:proofErr w:type="gramStart"/>
            <w:r>
              <w:rPr>
                <w:vertAlign w:val="superscript"/>
              </w:rPr>
              <w:t>2</w:t>
            </w:r>
            <w:proofErr w:type="gramEnd"/>
            <w:r>
              <w:t xml:space="preserve"> и более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750C24" w:rsidRDefault="00750C24">
            <w:pPr>
              <w:pStyle w:val="table10"/>
            </w:pPr>
            <w:r>
              <w:t> </w:t>
            </w:r>
          </w:p>
        </w:tc>
      </w:tr>
      <w:tr w:rsidR="00750C24">
        <w:trPr>
          <w:trHeight w:val="24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8.1.6</w:t>
            </w:r>
          </w:p>
        </w:tc>
        <w:tc>
          <w:tcPr>
            <w:tcW w:w="1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r>
              <w:t>Помещения с высотой складирования веществ, материалов, продукции и сырья 5,5 м и более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  <w:jc w:val="center"/>
            </w:pPr>
            <w:r>
              <w:t>Независимо от показателей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50C24" w:rsidRDefault="00750C24">
            <w:pPr>
              <w:pStyle w:val="table10"/>
            </w:pPr>
            <w:proofErr w:type="gramStart"/>
            <w:r>
              <w:t>Защищаются</w:t>
            </w:r>
            <w:proofErr w:type="gramEnd"/>
            <w:r>
              <w:t xml:space="preserve"> в том числе и внутри-стеллажные пространства»;</w:t>
            </w:r>
          </w:p>
        </w:tc>
      </w:tr>
    </w:tbl>
    <w:p w:rsidR="00750C24" w:rsidRDefault="00750C24">
      <w:pPr>
        <w:pStyle w:val="newncpi"/>
      </w:pPr>
      <w:r>
        <w:t> </w:t>
      </w:r>
    </w:p>
    <w:p w:rsidR="00750C24" w:rsidRDefault="00750C24">
      <w:pPr>
        <w:pStyle w:val="newncpi"/>
      </w:pPr>
      <w:r>
        <w:t>графу вторую подпункта 8.1.20 изложить в следующей редакции:</w:t>
      </w:r>
    </w:p>
    <w:p w:rsidR="00750C24" w:rsidRDefault="00750C24">
      <w:pPr>
        <w:pStyle w:val="newncpi"/>
      </w:pPr>
      <w:r>
        <w:t>«Лечебно-профилактические учреждения и аптеки, за исключением объектов, указанных в пункте 8.1.21 таблицы 1»;</w:t>
      </w:r>
    </w:p>
    <w:p w:rsidR="00750C24" w:rsidRDefault="00750C24">
      <w:pPr>
        <w:pStyle w:val="newncpi"/>
      </w:pPr>
      <w:r>
        <w:t>графу вторую подпункта 8.1.21 изложить в следующей редакции:</w:t>
      </w:r>
    </w:p>
    <w:p w:rsidR="00750C24" w:rsidRDefault="00750C24">
      <w:pPr>
        <w:pStyle w:val="newncpi"/>
      </w:pPr>
      <w:r>
        <w:t>«Фельдшерско-акушерские пункты, а также отдельно стоящие аптеки, расположенные в сельских населенных пунктах»;</w:t>
      </w:r>
    </w:p>
    <w:p w:rsidR="00750C24" w:rsidRDefault="00750C24">
      <w:pPr>
        <w:pStyle w:val="newncpi"/>
      </w:pPr>
      <w:r>
        <w:t>в пункте 9:</w:t>
      </w:r>
    </w:p>
    <w:p w:rsidR="00750C24" w:rsidRDefault="00750C24">
      <w:pPr>
        <w:pStyle w:val="newncpi"/>
      </w:pPr>
      <w:r>
        <w:t>графу пятую подпункта 9.2 после слов «Отдельно стоящие» дополнить словами «и группы»;</w:t>
      </w:r>
    </w:p>
    <w:p w:rsidR="00750C24" w:rsidRDefault="00750C24">
      <w:pPr>
        <w:pStyle w:val="newncpi"/>
      </w:pPr>
      <w:r>
        <w:t>графу вторую 9.6 изложить в следующей редакции:</w:t>
      </w:r>
    </w:p>
    <w:p w:rsidR="00750C24" w:rsidRDefault="00750C24">
      <w:pPr>
        <w:pStyle w:val="newncpi"/>
      </w:pPr>
      <w:r>
        <w:t>«Помещения зданий, а также здания мобильные контейнерного типа, предназначенные для размещения электрогенераторов (электростанций) с двигателями внутреннего сгорания, работающих на жидком моторном топливе»;</w:t>
      </w:r>
    </w:p>
    <w:p w:rsidR="00750C24" w:rsidRDefault="00750C24">
      <w:pPr>
        <w:pStyle w:val="newncpi"/>
      </w:pPr>
      <w:r>
        <w:t>графу вторую пункта 9.8 после слов «Комплексные приемные пункты</w:t>
      </w:r>
      <w:proofErr w:type="gramStart"/>
      <w:r>
        <w:t>,»</w:t>
      </w:r>
      <w:proofErr w:type="gramEnd"/>
      <w:r>
        <w:t xml:space="preserve"> дополнить словами «а также контрольно-пропускные пункты,»;</w:t>
      </w:r>
    </w:p>
    <w:p w:rsidR="00750C24" w:rsidRDefault="00750C24">
      <w:pPr>
        <w:pStyle w:val="newncpi"/>
      </w:pPr>
      <w:r>
        <w:t>примечание к таблице 2 дополнить частью второй следующего содержания:</w:t>
      </w:r>
    </w:p>
    <w:p w:rsidR="00750C24" w:rsidRDefault="00750C24">
      <w:pPr>
        <w:pStyle w:val="newncpi"/>
      </w:pPr>
      <w:r>
        <w:t> </w:t>
      </w:r>
    </w:p>
    <w:p w:rsidR="00750C24" w:rsidRDefault="00750C24">
      <w:pPr>
        <w:pStyle w:val="comment"/>
      </w:pPr>
      <w:proofErr w:type="gramStart"/>
      <w:r>
        <w:t>«Отдельно стоящие здания трансформаторных подстанций, газорегуляторных пунктов и газораспределительных станций, оборудованных средствами телемеханики, обеспечивающими передачу информации о возникновении пожара, аварийных режимах работы оборудования и неисправностей (задымление, утечка горючего газа, короткое замыкание и прочие) в круглосуточную диспетчерскую службу, обеспеченную телефонной связью с пожарными аварийно-спасательными подразделениями, допускается не оборудовать системами передачи извещений о пожаре.».</w:t>
      </w:r>
      <w:proofErr w:type="gramEnd"/>
    </w:p>
    <w:p w:rsidR="00750C24" w:rsidRDefault="00750C24">
      <w:pPr>
        <w:pStyle w:val="newncpi"/>
      </w:pPr>
      <w:r>
        <w:t> </w:t>
      </w:r>
    </w:p>
    <w:p w:rsidR="00750C24" w:rsidRDefault="00750C24">
      <w:pPr>
        <w:pStyle w:val="point"/>
      </w:pPr>
      <w:r>
        <w:t>2. Настоящий приказ вступает в силу с 1 июля 2016 г.</w:t>
      </w:r>
    </w:p>
    <w:p w:rsidR="00750C24" w:rsidRDefault="00750C24">
      <w:pPr>
        <w:pStyle w:val="newncpi"/>
      </w:pPr>
      <w:r>
        <w:t> </w:t>
      </w:r>
    </w:p>
    <w:tbl>
      <w:tblPr>
        <w:tblW w:w="4995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94"/>
        <w:gridCol w:w="4695"/>
      </w:tblGrid>
      <w:tr w:rsidR="00750C24">
        <w:tc>
          <w:tcPr>
            <w:tcW w:w="2500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750C24" w:rsidRDefault="00750C24">
            <w:pPr>
              <w:pStyle w:val="newncpi0"/>
              <w:jc w:val="left"/>
              <w:rPr>
                <w:sz w:val="22"/>
                <w:szCs w:val="22"/>
              </w:rPr>
            </w:pPr>
            <w:r>
              <w:rPr>
                <w:rStyle w:val="post"/>
              </w:rPr>
              <w:t>Первый заместитель Министра,</w:t>
            </w:r>
            <w:r>
              <w:rPr>
                <w:sz w:val="22"/>
                <w:szCs w:val="22"/>
              </w:rPr>
              <w:br/>
            </w:r>
            <w:r>
              <w:rPr>
                <w:rStyle w:val="post"/>
              </w:rPr>
              <w:t>Главный государственный инспектор</w:t>
            </w:r>
            <w:r>
              <w:rPr>
                <w:sz w:val="22"/>
                <w:szCs w:val="22"/>
              </w:rPr>
              <w:br/>
            </w:r>
            <w:r>
              <w:rPr>
                <w:rStyle w:val="post"/>
              </w:rPr>
              <w:t>Республики Беларусь по пожарному надзору</w:t>
            </w:r>
          </w:p>
        </w:tc>
        <w:tc>
          <w:tcPr>
            <w:tcW w:w="2500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750C24" w:rsidRDefault="00750C24">
            <w:pPr>
              <w:pStyle w:val="newncpi0"/>
              <w:jc w:val="right"/>
            </w:pPr>
            <w:proofErr w:type="spellStart"/>
            <w:r>
              <w:rPr>
                <w:rStyle w:val="pers"/>
              </w:rPr>
              <w:t>В.А.Степаненко</w:t>
            </w:r>
            <w:proofErr w:type="spellEnd"/>
          </w:p>
        </w:tc>
      </w:tr>
    </w:tbl>
    <w:p w:rsidR="00750C24" w:rsidRDefault="00750C24">
      <w:pPr>
        <w:pStyle w:val="newncpi"/>
      </w:pPr>
      <w:r>
        <w:t> </w:t>
      </w:r>
    </w:p>
    <w:p w:rsidR="00803532" w:rsidRDefault="00803532"/>
    <w:sectPr w:rsidR="00803532" w:rsidSect="00750C24">
      <w:headerReference w:type="even" r:id="rId7"/>
      <w:headerReference w:type="default" r:id="rId8"/>
      <w:pgSz w:w="11906" w:h="16838"/>
      <w:pgMar w:top="1134" w:right="1120" w:bottom="1134" w:left="1400" w:header="280" w:footer="1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9C6" w:rsidRDefault="00E669C6" w:rsidP="00750C24">
      <w:pPr>
        <w:spacing w:after="0" w:line="240" w:lineRule="auto"/>
      </w:pPr>
      <w:r>
        <w:separator/>
      </w:r>
    </w:p>
  </w:endnote>
  <w:endnote w:type="continuationSeparator" w:id="0">
    <w:p w:rsidR="00E669C6" w:rsidRDefault="00E669C6" w:rsidP="00750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9C6" w:rsidRDefault="00E669C6" w:rsidP="00750C24">
      <w:pPr>
        <w:spacing w:after="0" w:line="240" w:lineRule="auto"/>
      </w:pPr>
      <w:r>
        <w:separator/>
      </w:r>
    </w:p>
  </w:footnote>
  <w:footnote w:type="continuationSeparator" w:id="0">
    <w:p w:rsidR="00E669C6" w:rsidRDefault="00E669C6" w:rsidP="00750C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C24" w:rsidRDefault="00750C24" w:rsidP="003A5671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50C24" w:rsidRDefault="00750C2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C24" w:rsidRPr="00750C24" w:rsidRDefault="00750C24" w:rsidP="003A5671">
    <w:pPr>
      <w:pStyle w:val="a3"/>
      <w:framePr w:wrap="around" w:vAnchor="text" w:hAnchor="margin" w:xAlign="center" w:y="1"/>
      <w:rPr>
        <w:rStyle w:val="a7"/>
        <w:rFonts w:ascii="Times New Roman" w:hAnsi="Times New Roman" w:cs="Times New Roman"/>
        <w:sz w:val="24"/>
      </w:rPr>
    </w:pPr>
    <w:r w:rsidRPr="00750C24">
      <w:rPr>
        <w:rStyle w:val="a7"/>
        <w:rFonts w:ascii="Times New Roman" w:hAnsi="Times New Roman" w:cs="Times New Roman"/>
        <w:sz w:val="24"/>
      </w:rPr>
      <w:fldChar w:fldCharType="begin"/>
    </w:r>
    <w:r w:rsidRPr="00750C24">
      <w:rPr>
        <w:rStyle w:val="a7"/>
        <w:rFonts w:ascii="Times New Roman" w:hAnsi="Times New Roman" w:cs="Times New Roman"/>
        <w:sz w:val="24"/>
      </w:rPr>
      <w:instrText xml:space="preserve">PAGE  </w:instrText>
    </w:r>
    <w:r w:rsidRPr="00750C24">
      <w:rPr>
        <w:rStyle w:val="a7"/>
        <w:rFonts w:ascii="Times New Roman" w:hAnsi="Times New Roman" w:cs="Times New Roman"/>
        <w:sz w:val="24"/>
      </w:rPr>
      <w:fldChar w:fldCharType="separate"/>
    </w:r>
    <w:r w:rsidR="00606370">
      <w:rPr>
        <w:rStyle w:val="a7"/>
        <w:rFonts w:ascii="Times New Roman" w:hAnsi="Times New Roman" w:cs="Times New Roman"/>
        <w:noProof/>
        <w:sz w:val="24"/>
      </w:rPr>
      <w:t>2</w:t>
    </w:r>
    <w:r w:rsidRPr="00750C24">
      <w:rPr>
        <w:rStyle w:val="a7"/>
        <w:rFonts w:ascii="Times New Roman" w:hAnsi="Times New Roman" w:cs="Times New Roman"/>
        <w:sz w:val="24"/>
      </w:rPr>
      <w:fldChar w:fldCharType="end"/>
    </w:r>
  </w:p>
  <w:p w:rsidR="00750C24" w:rsidRPr="00750C24" w:rsidRDefault="00750C24">
    <w:pPr>
      <w:pStyle w:val="a3"/>
      <w:rPr>
        <w:rFonts w:ascii="Times New Roman" w:hAnsi="Times New Roman" w:cs="Times New Roman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C24"/>
    <w:rsid w:val="00606370"/>
    <w:rsid w:val="00750C24"/>
    <w:rsid w:val="00803532"/>
    <w:rsid w:val="00C700E4"/>
    <w:rsid w:val="00E66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ncpi">
    <w:name w:val="titlencpi"/>
    <w:basedOn w:val="a"/>
    <w:rsid w:val="00750C24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point">
    <w:name w:val="point"/>
    <w:basedOn w:val="a"/>
    <w:rsid w:val="00750C24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mment">
    <w:name w:val="comment"/>
    <w:basedOn w:val="a"/>
    <w:rsid w:val="00750C24"/>
    <w:pPr>
      <w:spacing w:after="0" w:line="240" w:lineRule="auto"/>
      <w:ind w:firstLine="709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reamble">
    <w:name w:val="preamble"/>
    <w:basedOn w:val="a"/>
    <w:rsid w:val="00750C24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10">
    <w:name w:val="table10"/>
    <w:basedOn w:val="a"/>
    <w:rsid w:val="00750C24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newncpi">
    <w:name w:val="newncpi"/>
    <w:basedOn w:val="a"/>
    <w:rsid w:val="00750C24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750C24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750C24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750C24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750C24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750C24"/>
    <w:rPr>
      <w:rFonts w:ascii="Times New Roman" w:hAnsi="Times New Roman" w:cs="Times New Roman" w:hint="default"/>
    </w:rPr>
  </w:style>
  <w:style w:type="character" w:customStyle="1" w:styleId="rednoun">
    <w:name w:val="rednoun"/>
    <w:basedOn w:val="a0"/>
    <w:rsid w:val="00750C24"/>
  </w:style>
  <w:style w:type="character" w:customStyle="1" w:styleId="post">
    <w:name w:val="post"/>
    <w:basedOn w:val="a0"/>
    <w:rsid w:val="00750C24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750C24"/>
    <w:rPr>
      <w:rFonts w:ascii="Times New Roman" w:hAnsi="Times New Roman" w:cs="Times New Roman" w:hint="default"/>
      <w:b/>
      <w:bCs/>
      <w:sz w:val="22"/>
      <w:szCs w:val="22"/>
    </w:rPr>
  </w:style>
  <w:style w:type="paragraph" w:styleId="a3">
    <w:name w:val="header"/>
    <w:basedOn w:val="a"/>
    <w:link w:val="a4"/>
    <w:uiPriority w:val="99"/>
    <w:unhideWhenUsed/>
    <w:rsid w:val="00750C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50C24"/>
  </w:style>
  <w:style w:type="paragraph" w:styleId="a5">
    <w:name w:val="footer"/>
    <w:basedOn w:val="a"/>
    <w:link w:val="a6"/>
    <w:uiPriority w:val="99"/>
    <w:unhideWhenUsed/>
    <w:rsid w:val="00750C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50C24"/>
  </w:style>
  <w:style w:type="character" w:styleId="a7">
    <w:name w:val="page number"/>
    <w:basedOn w:val="a0"/>
    <w:uiPriority w:val="99"/>
    <w:semiHidden/>
    <w:unhideWhenUsed/>
    <w:rsid w:val="00750C24"/>
  </w:style>
  <w:style w:type="table" w:styleId="a8">
    <w:name w:val="Table Grid"/>
    <w:basedOn w:val="a1"/>
    <w:uiPriority w:val="59"/>
    <w:rsid w:val="00750C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ncpi">
    <w:name w:val="titlencpi"/>
    <w:basedOn w:val="a"/>
    <w:rsid w:val="00750C24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point">
    <w:name w:val="point"/>
    <w:basedOn w:val="a"/>
    <w:rsid w:val="00750C24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mment">
    <w:name w:val="comment"/>
    <w:basedOn w:val="a"/>
    <w:rsid w:val="00750C24"/>
    <w:pPr>
      <w:spacing w:after="0" w:line="240" w:lineRule="auto"/>
      <w:ind w:firstLine="709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reamble">
    <w:name w:val="preamble"/>
    <w:basedOn w:val="a"/>
    <w:rsid w:val="00750C24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10">
    <w:name w:val="table10"/>
    <w:basedOn w:val="a"/>
    <w:rsid w:val="00750C24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newncpi">
    <w:name w:val="newncpi"/>
    <w:basedOn w:val="a"/>
    <w:rsid w:val="00750C24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750C24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750C24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750C24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750C24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750C24"/>
    <w:rPr>
      <w:rFonts w:ascii="Times New Roman" w:hAnsi="Times New Roman" w:cs="Times New Roman" w:hint="default"/>
    </w:rPr>
  </w:style>
  <w:style w:type="character" w:customStyle="1" w:styleId="rednoun">
    <w:name w:val="rednoun"/>
    <w:basedOn w:val="a0"/>
    <w:rsid w:val="00750C24"/>
  </w:style>
  <w:style w:type="character" w:customStyle="1" w:styleId="post">
    <w:name w:val="post"/>
    <w:basedOn w:val="a0"/>
    <w:rsid w:val="00750C24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750C24"/>
    <w:rPr>
      <w:rFonts w:ascii="Times New Roman" w:hAnsi="Times New Roman" w:cs="Times New Roman" w:hint="default"/>
      <w:b/>
      <w:bCs/>
      <w:sz w:val="22"/>
      <w:szCs w:val="22"/>
    </w:rPr>
  </w:style>
  <w:style w:type="paragraph" w:styleId="a3">
    <w:name w:val="header"/>
    <w:basedOn w:val="a"/>
    <w:link w:val="a4"/>
    <w:uiPriority w:val="99"/>
    <w:unhideWhenUsed/>
    <w:rsid w:val="00750C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50C24"/>
  </w:style>
  <w:style w:type="paragraph" w:styleId="a5">
    <w:name w:val="footer"/>
    <w:basedOn w:val="a"/>
    <w:link w:val="a6"/>
    <w:uiPriority w:val="99"/>
    <w:unhideWhenUsed/>
    <w:rsid w:val="00750C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50C24"/>
  </w:style>
  <w:style w:type="character" w:styleId="a7">
    <w:name w:val="page number"/>
    <w:basedOn w:val="a0"/>
    <w:uiPriority w:val="99"/>
    <w:semiHidden/>
    <w:unhideWhenUsed/>
    <w:rsid w:val="00750C24"/>
  </w:style>
  <w:style w:type="table" w:styleId="a8">
    <w:name w:val="Table Grid"/>
    <w:basedOn w:val="a1"/>
    <w:uiPriority w:val="59"/>
    <w:rsid w:val="00750C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622</Words>
  <Characters>4264</Characters>
  <Application>Microsoft Office Word</Application>
  <DocSecurity>0</DocSecurity>
  <Lines>224</Lines>
  <Paragraphs>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1</cp:revision>
  <dcterms:created xsi:type="dcterms:W3CDTF">2016-05-04T14:43:00Z</dcterms:created>
  <dcterms:modified xsi:type="dcterms:W3CDTF">2016-05-04T15:04:00Z</dcterms:modified>
</cp:coreProperties>
</file>